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95F9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“</w:t>
      </w:r>
      <w:r>
        <w:rPr>
          <w:rFonts w:hint="eastAsia"/>
          <w:b/>
          <w:bCs/>
          <w:sz w:val="36"/>
          <w:szCs w:val="36"/>
        </w:rPr>
        <w:t>四证皆无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rFonts w:hint="eastAsia"/>
          <w:b/>
          <w:bCs/>
          <w:sz w:val="36"/>
          <w:szCs w:val="36"/>
        </w:rPr>
        <w:t>幼儿园经营权转让案引法律争议</w:t>
      </w:r>
    </w:p>
    <w:bookmarkEnd w:id="0"/>
    <w:p w14:paraId="7DC879E0">
      <w:pPr>
        <w:rPr>
          <w:rFonts w:hint="eastAsia"/>
          <w:sz w:val="28"/>
          <w:szCs w:val="28"/>
        </w:rPr>
      </w:pPr>
    </w:p>
    <w:p w14:paraId="1EC144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河北廊坊大厂回族自治县一起幼儿园经营权转让纠纷，因标的幼儿园在交易时未取得办学许可证、营业执照、消防许可证、卫生许可证等法定证照，且已被九部门联合取缔，引发关于无证经营标的交易效力、合同欺诈认定及司法程序合规性的多重法律争议。目前当事人已向河北省高级人民法院提出申诉。</w:t>
      </w:r>
    </w:p>
    <w:p w14:paraId="2B6609D7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400675" cy="3840480"/>
            <wp:effectExtent l="0" t="0" r="9525" b="7620"/>
            <wp:docPr id="1" name="图片 1" descr="微信图片_20260506134458_231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06134458_2316_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D7F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一、交易标的"四证皆无"：法定准入门槛全面缺失</w:t>
      </w:r>
    </w:p>
    <w:p w14:paraId="456B3B7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据当事人反映及公开信息核查，涉案标的"潮白馨居幼儿园"（又称"格林童话幼儿园"）在转让交易时处于"四证皆无"状态：</w:t>
      </w:r>
    </w:p>
    <w:p w14:paraId="6AD77641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• 办学许可证：</w:t>
      </w:r>
      <w:r>
        <w:rPr>
          <w:rFonts w:hint="eastAsia"/>
          <w:sz w:val="28"/>
          <w:szCs w:val="28"/>
        </w:rPr>
        <w:t>未取得教育行政部门颁发的《民办学校办学许可证》，不具备合法办学主体资格；</w:t>
      </w:r>
    </w:p>
    <w:p w14:paraId="45D1B3B6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• 营业执照：</w:t>
      </w:r>
      <w:r>
        <w:rPr>
          <w:rFonts w:hint="eastAsia"/>
          <w:sz w:val="28"/>
          <w:szCs w:val="28"/>
        </w:rPr>
        <w:t>未在市场监督管理部门登记注册，无合法经营主体身份；</w:t>
      </w:r>
    </w:p>
    <w:p w14:paraId="46A6E48E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• 消防许可证：</w:t>
      </w:r>
      <w:r>
        <w:rPr>
          <w:rFonts w:hint="eastAsia"/>
          <w:sz w:val="28"/>
          <w:szCs w:val="28"/>
        </w:rPr>
        <w:t>因2016年房屋结构擅自拆改，始终未能通过消防验收，未取得《公众聚集场所投入使用、前消防安全检查合格证》；</w:t>
      </w:r>
    </w:p>
    <w:p w14:paraId="681713E1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• 卫生许可证：</w:t>
      </w:r>
      <w:r>
        <w:rPr>
          <w:rFonts w:hint="eastAsia"/>
          <w:sz w:val="28"/>
          <w:szCs w:val="28"/>
        </w:rPr>
        <w:t>未取得卫生健康部门颁发的《托幼机构卫生保健合格证》或相关卫生许可。</w:t>
      </w:r>
    </w:p>
    <w:p w14:paraId="326D92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办教育促进法》第十二条规定："举办实施学历教育、学前教育、自学考试助学及其他文化教育的民办学校，由县级以上人民政府教育行政部门按照国家规定的权限审批；……审批机关对批准正式设立的民办学校发给办学许可证。"《幼儿园管理条例》第十一条亦明确规定："国家实行幼儿园登记注册制度，未经登记注册，任何单位和个人不得举办幼儿园。"</w:t>
      </w:r>
    </w:p>
    <w:p w14:paraId="042625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上述行政法规表明，办学许可证与营业执照是幼儿园合法设立的前置性强制要件。消防、卫生许可则直接关系到公共安全与未成年人生命健康，属于特种行业经营的必备条件。</w:t>
      </w:r>
    </w:p>
    <w:p w14:paraId="0413461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二、九部门联合取缔：行政强制力下的"无效标的"</w:t>
      </w:r>
    </w:p>
    <w:p w14:paraId="794206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10月21日，大厂回族自治县消防救援大队联合教育、市场监管、公安等九部门对该幼儿园实施联合取缔。这意味着，在2021年12月8日签订《经营权及固定资产转让协议》时，该幼儿园不仅"四证皆无"，且已处于行政取缔后的非法状态。</w:t>
      </w:r>
    </w:p>
    <w:p w14:paraId="13E8402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民法典》第一百五十三条规定："违反法律、行政法规的强制性规定的民事法律行为无效。"幼儿园作为面向学龄前儿童的特殊教育机构，其设立与运营受《教育法》《民办教育促进法》《消防法》《食品安全法》等多重法律规制。无证经营本身即涉嫌违反法律强制性规定，而九部门联合取缔的行政行为，进一步确认了该经营活动的违法性。</w:t>
      </w:r>
    </w:p>
    <w:p w14:paraId="68D4E5C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从合同法理分析，转让"已被取缔的无证幼儿园经营权"，其标的存在权利瑕疵与合法性缺陷，可能影响合同效力认定。</w:t>
      </w:r>
    </w:p>
    <w:p w14:paraId="42A8108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三、欺诈认定：隐瞒"四证皆无"与取缔事实是否构成故意欺诈</w:t>
      </w:r>
    </w:p>
    <w:p w14:paraId="195FD54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受让方姬浩方、韩建龙主张，出让方陈学梅在签约时故意隐瞒幼儿园"四证皆无"及已被九部门联合取缔的事实，并虚假陈述"仅取缔四人合伙，他人可办理手续"。</w:t>
      </w:r>
    </w:p>
    <w:p w14:paraId="63BEE5F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高人民法院《关于适用〈中华人民共和国民法典〉总则编若干问题的解释》第二十一条明确："故意告知虚假情况，或者负有告知义务的人故意隐瞒真实情况，致使当事人基于错误认识作出意思表示的，人民法院可以认定为民法典第一百四十八条、第一百四十九条规定的欺诈。"</w:t>
      </w:r>
    </w:p>
    <w:p w14:paraId="026E453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经营权转让交易中，出让方对标的行政审批状态、消防验收情况、出租方同意转让意愿等关键信息负有如实告知义务。"四证皆无"属于足以影响交易决策的重大信息，若出让方明知或应知而故意隐瞒，符合欺诈构成要件。</w:t>
      </w:r>
    </w:p>
    <w:p w14:paraId="434A4B9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四、原始租赁合同解除：经营权丧失权利基础</w:t>
      </w:r>
    </w:p>
    <w:p w14:paraId="275F39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2021年12月23日，即协议签订后第15日，陈学梅向田各庄村委会提交退租申请，原始租赁合同于12月27日解除。而村委会作为出租方，在原审中已明确表示不同意该幼儿园经营权转让。</w:t>
      </w:r>
    </w:p>
    <w:p w14:paraId="0E920C52">
      <w:pPr>
        <w:ind w:firstLine="560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《民法典》第七百一十六条规定：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承租人未经出租人同意转租的，出租人可以解除合同。"陈学梅与村委会签署的《房屋租赁合同》</w:t>
      </w:r>
      <w:r>
        <w:rPr>
          <w:rFonts w:hint="eastAsia"/>
          <w:b/>
          <w:bCs/>
          <w:sz w:val="28"/>
          <w:szCs w:val="28"/>
        </w:rPr>
        <w:t>第七条亦约定："若对房屋转让必须和村委会签署转让协议，否则转让无效。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</w:p>
    <w:p w14:paraId="3AF9402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经营权转让以租赁权存续为前提。原始租赁合同解除且出租方明确反对转让，意味着经营权彻底丧失权利基础，合同目的从根本上无法实现，构成《民法典》第五百六十三条规定的"根本违约"情形。</w:t>
      </w:r>
    </w:p>
    <w:p w14:paraId="1E7B4D62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五、一审判决"部分返还"引争议：责任划分与损失赔偿</w:t>
      </w:r>
    </w:p>
    <w:p w14:paraId="555010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厂回族自治县人民法院（2024）冀1028民初2873号判决判令陈学梅返还34万元，对装修损失16.8万元未予支持。当事人认为，在出让方隐瞒"四证皆无"重大事实、单方退租导致合同目的落空的情况下，仅判令返还部分款项且未认定欺诈与根本违约，存在责任划分失衡问题。</w:t>
      </w:r>
    </w:p>
    <w:p w14:paraId="669878C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民法典》第一百五十七条规定："民事法律行为无效、被撤销或者确定不发生效力后，行为人因该行为取得的财产，应当予以返还；不能返还或者没有必要返还的，应当折价补偿。有过错的一方应当赔偿对方由此所受到的损失。"若出让方过错成立，原则上应全额返还转让款并赔偿实际损失。</w:t>
      </w:r>
    </w:p>
    <w:p w14:paraId="4C091FA7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403850" cy="5371465"/>
            <wp:effectExtent l="0" t="0" r="6350" b="635"/>
            <wp:docPr id="2" name="图片 2" descr="微信图片_20260506134457_231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06134457_2315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53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622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六、历史遗留隐患：擅自拆改房屋结构与消防验收困局</w:t>
      </w:r>
    </w:p>
    <w:p w14:paraId="1F92804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案还牵涉2016年历史遗留问题。陈学梅与韩萃、马桂英、韩丰晴四人合伙经营期间，陈学梅于2016年7月擅自拆改二层、三层环廊房屋结构，造成安全隐患，导致幼儿园始终无法通过消防验收。2018年4月，大厂县人民法院判决解除四人合伙关系时，明确"维持幼儿园财产现状"。</w:t>
      </w:r>
    </w:p>
    <w:p w14:paraId="70D340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该历史事实若经核实，则涉及两个问题：</w:t>
      </w:r>
      <w:r>
        <w:rPr>
          <w:rFonts w:hint="eastAsia"/>
          <w:b/>
          <w:bCs/>
          <w:sz w:val="28"/>
          <w:szCs w:val="28"/>
        </w:rPr>
        <w:t>其一，</w:t>
      </w:r>
      <w:r>
        <w:rPr>
          <w:rFonts w:hint="eastAsia"/>
          <w:sz w:val="28"/>
          <w:szCs w:val="28"/>
        </w:rPr>
        <w:t>出让方是否在明知房屋存在结构性安全隐患、无法通过消防验收的情况下仍对外转让经营权；</w:t>
      </w:r>
      <w:r>
        <w:rPr>
          <w:rFonts w:hint="eastAsia"/>
          <w:b/>
          <w:bCs/>
          <w:sz w:val="28"/>
          <w:szCs w:val="28"/>
        </w:rPr>
        <w:t>其二，</w:t>
      </w:r>
      <w:r>
        <w:rPr>
          <w:rFonts w:hint="eastAsia"/>
          <w:sz w:val="28"/>
          <w:szCs w:val="28"/>
        </w:rPr>
        <w:t>擅自拆改行为与"四证皆无"状态之间是否存在因果关系。</w:t>
      </w:r>
    </w:p>
    <w:p w14:paraId="5AFB7D77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七、法律评述：无证经营标的交易的合规边界</w:t>
      </w:r>
    </w:p>
    <w:p w14:paraId="046DB5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本案折射出民间经营权转让中的典型合规风险：</w:t>
      </w:r>
    </w:p>
    <w:p w14:paraId="76665966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第一，</w:t>
      </w:r>
      <w:r>
        <w:rPr>
          <w:rFonts w:hint="eastAsia"/>
          <w:sz w:val="28"/>
          <w:szCs w:val="28"/>
        </w:rPr>
        <w:t>行政审批前置审查的缺失。 受让方在签订重大经营权转让合同前，未通过教育行政部门、市场监管部门、消防部门等渠道核实标的证照齐全性，导致以85万元预付款受让"四证皆无"且已被取缔的经营权，陷入重大交易风险。</w:t>
      </w:r>
    </w:p>
    <w:p w14:paraId="70866F35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第二，</w:t>
      </w:r>
      <w:r>
        <w:rPr>
          <w:rFonts w:hint="eastAsia"/>
          <w:sz w:val="28"/>
          <w:szCs w:val="28"/>
        </w:rPr>
        <w:t>无证经营标的的交易效力争议。 根据《民法典》第一百五十三条，违反法律、行政法规强制性规定的民事法律行为无效。幼儿园办学涉及公共安全与未成年人保护，"四证皆无"状态是否导致转让协议自始无效，抑或属于可撤销的欺诈情形，存在法律适用探讨空间。</w:t>
      </w:r>
    </w:p>
    <w:p w14:paraId="0AAB66A5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第三，</w:t>
      </w:r>
      <w:r>
        <w:rPr>
          <w:rFonts w:hint="eastAsia"/>
          <w:sz w:val="28"/>
          <w:szCs w:val="28"/>
        </w:rPr>
        <w:t>程序正义的底线保障。 当事人反映二审中视频证据未予质证问题。</w:t>
      </w:r>
    </w:p>
    <w:p w14:paraId="053395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目前，当事人已向河北省高级人民法院提出申诉，请求撤销一审判决第二、三、四项，判令全额返还转让款85万元并支付利息，赔偿装修损失16.8万元，并对二审程序问题给予关注。</w:t>
      </w:r>
    </w:p>
    <w:p w14:paraId="1F9A8BF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法律条文索引</w:t>
      </w:r>
    </w:p>
    <w:p w14:paraId="5DFD4ED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《中华人民共和国民法典》第一百四十八条、第一百四十九条、第一百五十二条、第一百五十三条、第一百五十七条、第五百六十三条、第五百六十六条、第七百一十六条</w:t>
      </w:r>
    </w:p>
    <w:p w14:paraId="27FE3D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《中华人民共和国民办教育促进法》第十二条</w:t>
      </w:r>
    </w:p>
    <w:p w14:paraId="544BD2B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《幼儿园管理条例》第十一条</w:t>
      </w:r>
    </w:p>
    <w:p w14:paraId="640B666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《中华人民共和国消防法》第十五条</w:t>
      </w:r>
    </w:p>
    <w:p w14:paraId="364D07A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《中华人民共和国民事诉讼法》第四十六条、第四十七条</w:t>
      </w:r>
    </w:p>
    <w:p w14:paraId="61F20236">
      <w:pPr>
        <w:ind w:firstLine="562" w:firstLineChars="200"/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（本文基于当事人提供的材料及相关法律法规进行客观分析，不构成对任何一方的指控或定性，具体事实认定与法律适用以司法机关最终结论为准。）</w:t>
      </w:r>
    </w:p>
    <w:sectPr>
      <w:pgSz w:w="11906" w:h="16838"/>
      <w:pgMar w:top="1383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2586"/>
    <w:rsid w:val="2E38763D"/>
    <w:rsid w:val="2FD73450"/>
    <w:rsid w:val="3B1D688D"/>
    <w:rsid w:val="6AE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2697</Words>
  <Characters>2744</Characters>
  <Lines>0</Lines>
  <Paragraphs>0</Paragraphs>
  <TotalTime>16</TotalTime>
  <ScaleCrop>false</ScaleCrop>
  <LinksUpToDate>false</LinksUpToDate>
  <CharactersWithSpaces>2751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2026-04-30T14:43:00Z</dcterms:created>
  <dc:creator>纪  哲  (纪良斌)</dc:creator>
  <cp:lastModifiedBy>纪  哲  (纪良斌)</cp:lastModifiedBy>
  <dcterms:modified xsi:type="dcterms:W3CDTF">2026-05-06T05:46:44Z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07C7ECC21F184C2799982AD82988F837_13</vt:lpwstr>
  </property>
  <property fmtid="{D5CDD505-2E9C-101B-9397-08002B2CF9AE}" pid="4" name="KSOTemplateDocerSaveRecord">
    <vt:lpwstr>eyJoZGlkIjoiMDlhNDVlZWNhMDQ1ZjA5ODc1ZDNjMjAzYjA3Njc5OGUiLCJ1c2VySWQiOiI0NjQ3MTUwNjIifQ==</vt:lpwstr>
  </property>
</Properties>
</file>